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23F" w:rsidRPr="00927C68" w:rsidRDefault="00E7723F" w:rsidP="00927C68">
      <w:pPr>
        <w:pBdr>
          <w:top w:val="single" w:sz="4" w:space="1" w:color="auto"/>
          <w:bottom w:val="single" w:sz="4" w:space="1" w:color="auto"/>
        </w:pBdr>
        <w:jc w:val="center"/>
        <w:rPr>
          <w:sz w:val="72"/>
          <w:szCs w:val="72"/>
        </w:rPr>
      </w:pPr>
      <w:bookmarkStart w:id="0" w:name="_Toc330194009"/>
      <w:r w:rsidRPr="00927C68">
        <w:rPr>
          <w:sz w:val="72"/>
          <w:szCs w:val="72"/>
        </w:rPr>
        <w:t>Compliance Checklist</w:t>
      </w:r>
      <w:bookmarkEnd w:id="0"/>
    </w:p>
    <w:p w:rsidR="00E7723F" w:rsidRDefault="00E7723F" w:rsidP="00E7723F">
      <w:pPr>
        <w:spacing w:before="240" w:after="0" w:line="240" w:lineRule="auto"/>
        <w:rPr>
          <w:sz w:val="24"/>
          <w:szCs w:val="24"/>
        </w:rPr>
      </w:pPr>
      <w:r w:rsidRPr="0086381E">
        <w:rPr>
          <w:sz w:val="24"/>
          <w:szCs w:val="24"/>
        </w:rPr>
        <w:t>The Title I law provides a number of parental involvement requirements. Below is a compliance checklist for your schools to be mindful of these requirements and that they are addressed on a yearly basis.</w:t>
      </w:r>
    </w:p>
    <w:tbl>
      <w:tblPr>
        <w:tblStyle w:val="TableGrid"/>
        <w:tblW w:w="5000" w:type="pct"/>
        <w:jc w:val="center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4701"/>
        <w:gridCol w:w="1030"/>
        <w:gridCol w:w="982"/>
        <w:gridCol w:w="4202"/>
      </w:tblGrid>
      <w:tr w:rsidR="00E7723F" w:rsidRPr="0025091D" w:rsidTr="00927C68">
        <w:trPr>
          <w:cantSplit/>
          <w:jc w:val="center"/>
        </w:trPr>
        <w:tc>
          <w:tcPr>
            <w:tcW w:w="5000" w:type="pct"/>
            <w:gridSpan w:val="4"/>
            <w:shd w:val="clear" w:color="auto" w:fill="4BACC6" w:themeFill="accent5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Pr="00927C68" w:rsidRDefault="00E7723F" w:rsidP="00927C68">
            <w:pPr>
              <w:spacing w:before="60" w:after="6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27C68">
              <w:rPr>
                <w:rFonts w:ascii="Arial" w:hAnsi="Arial" w:cs="Arial"/>
                <w:b/>
                <w:sz w:val="36"/>
                <w:szCs w:val="36"/>
              </w:rPr>
              <w:t>Parents Right to Know (NCLB 1111)</w:t>
            </w:r>
          </w:p>
        </w:tc>
      </w:tr>
      <w:tr w:rsidR="00E7723F" w:rsidRPr="00BC0584" w:rsidTr="00927C68">
        <w:trPr>
          <w:cantSplit/>
          <w:jc w:val="center"/>
        </w:trPr>
        <w:tc>
          <w:tcPr>
            <w:tcW w:w="2153" w:type="pct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7723F" w:rsidRPr="00BC0584" w:rsidRDefault="00E7723F" w:rsidP="009422EF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Compliance Requirements</w:t>
            </w:r>
          </w:p>
        </w:tc>
        <w:tc>
          <w:tcPr>
            <w:tcW w:w="472" w:type="pct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7723F" w:rsidRPr="00BC0584" w:rsidRDefault="00E7723F" w:rsidP="009422E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C0584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450" w:type="pct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7723F" w:rsidRPr="00BC0584" w:rsidRDefault="00E7723F" w:rsidP="009422E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C0584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925" w:type="pct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7723F" w:rsidRPr="00BC0584" w:rsidRDefault="00E7723F" w:rsidP="009422EF">
            <w:pPr>
              <w:spacing w:before="60" w:after="60"/>
              <w:rPr>
                <w:rFonts w:ascii="Arial" w:hAnsi="Arial" w:cs="Arial"/>
                <w:b/>
              </w:rPr>
            </w:pPr>
            <w:r w:rsidRPr="00BC0584">
              <w:rPr>
                <w:rFonts w:ascii="Arial" w:hAnsi="Arial" w:cs="Arial"/>
                <w:b/>
              </w:rPr>
              <w:t>Comments</w:t>
            </w:r>
          </w:p>
        </w:tc>
      </w:tr>
      <w:tr w:rsidR="00E7723F" w:rsidTr="009422EF">
        <w:trPr>
          <w:cantSplit/>
          <w:jc w:val="center"/>
        </w:trPr>
        <w:tc>
          <w:tcPr>
            <w:tcW w:w="2153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Pr="00BC4464" w:rsidRDefault="00E7723F" w:rsidP="009422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C4464">
              <w:rPr>
                <w:rFonts w:ascii="Arial" w:hAnsi="Arial" w:cs="Arial"/>
              </w:rPr>
              <w:t>Parents have the right to know the qualifications of their children’s</w:t>
            </w:r>
            <w:r>
              <w:rPr>
                <w:rFonts w:ascii="Arial" w:hAnsi="Arial" w:cs="Arial"/>
              </w:rPr>
              <w:t xml:space="preserve"> </w:t>
            </w:r>
            <w:r w:rsidRPr="00BC4464">
              <w:rPr>
                <w:rFonts w:ascii="Arial" w:hAnsi="Arial" w:cs="Arial"/>
              </w:rPr>
              <w:t xml:space="preserve">teacher. At the beginning of each school year, the </w:t>
            </w:r>
            <w:r>
              <w:rPr>
                <w:rFonts w:ascii="Arial" w:hAnsi="Arial" w:cs="Arial"/>
              </w:rPr>
              <w:t>school</w:t>
            </w:r>
            <w:r w:rsidRPr="00BC4464">
              <w:rPr>
                <w:rFonts w:ascii="Arial" w:hAnsi="Arial" w:cs="Arial"/>
              </w:rPr>
              <w:t xml:space="preserve"> must notify parents of such information.</w:t>
            </w:r>
          </w:p>
        </w:tc>
        <w:tc>
          <w:tcPr>
            <w:tcW w:w="472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Pr="00F26047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450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Pr="00F26047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1925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Pr="00A0175D" w:rsidRDefault="00E7723F" w:rsidP="009422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7723F" w:rsidRPr="0025091D" w:rsidTr="00927C68">
        <w:trPr>
          <w:cantSplit/>
          <w:jc w:val="center"/>
        </w:trPr>
        <w:tc>
          <w:tcPr>
            <w:tcW w:w="5000" w:type="pct"/>
            <w:gridSpan w:val="4"/>
            <w:shd w:val="clear" w:color="auto" w:fill="4BACC6" w:themeFill="accent5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Pr="00927C68" w:rsidRDefault="00E7723F" w:rsidP="00927C68">
            <w:pPr>
              <w:spacing w:before="60" w:after="6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 w:rsidRPr="00927C68">
              <w:rPr>
                <w:rFonts w:ascii="Arial" w:hAnsi="Arial" w:cs="Arial"/>
                <w:b/>
                <w:sz w:val="36"/>
                <w:szCs w:val="36"/>
              </w:rPr>
              <w:t>Schoolwide</w:t>
            </w:r>
            <w:proofErr w:type="spellEnd"/>
            <w:r w:rsidRPr="00927C68">
              <w:rPr>
                <w:rFonts w:ascii="Arial" w:hAnsi="Arial" w:cs="Arial"/>
                <w:b/>
                <w:sz w:val="36"/>
                <w:szCs w:val="36"/>
              </w:rPr>
              <w:t xml:space="preserve"> Program Criteria (NCLB 1114)</w:t>
            </w:r>
          </w:p>
        </w:tc>
      </w:tr>
      <w:tr w:rsidR="00E7723F" w:rsidRPr="00BC0584" w:rsidTr="00927C68">
        <w:trPr>
          <w:cantSplit/>
          <w:jc w:val="center"/>
        </w:trPr>
        <w:tc>
          <w:tcPr>
            <w:tcW w:w="2153" w:type="pct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7723F" w:rsidRPr="00BC0584" w:rsidRDefault="00E7723F" w:rsidP="009422EF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Compliance Requirements</w:t>
            </w:r>
          </w:p>
        </w:tc>
        <w:tc>
          <w:tcPr>
            <w:tcW w:w="472" w:type="pct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7723F" w:rsidRPr="00BC0584" w:rsidRDefault="00E7723F" w:rsidP="009422E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C0584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450" w:type="pct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7723F" w:rsidRPr="00BC0584" w:rsidRDefault="00E7723F" w:rsidP="009422E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C0584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925" w:type="pct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7723F" w:rsidRPr="00BC0584" w:rsidRDefault="00E7723F" w:rsidP="009422EF">
            <w:pPr>
              <w:spacing w:before="60" w:after="60"/>
              <w:rPr>
                <w:rFonts w:ascii="Arial" w:hAnsi="Arial" w:cs="Arial"/>
                <w:b/>
              </w:rPr>
            </w:pPr>
            <w:r w:rsidRPr="00BC0584">
              <w:rPr>
                <w:rFonts w:ascii="Arial" w:hAnsi="Arial" w:cs="Arial"/>
                <w:b/>
              </w:rPr>
              <w:t>Comments</w:t>
            </w:r>
          </w:p>
        </w:tc>
      </w:tr>
      <w:tr w:rsidR="00E7723F" w:rsidTr="009422EF">
        <w:trPr>
          <w:cantSplit/>
          <w:jc w:val="center"/>
        </w:trPr>
        <w:tc>
          <w:tcPr>
            <w:tcW w:w="2153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Pr="00A0175D" w:rsidRDefault="00E7723F" w:rsidP="0049321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571BA">
              <w:rPr>
                <w:rFonts w:ascii="Arial" w:hAnsi="Arial" w:cs="Arial"/>
              </w:rPr>
              <w:t>arents must be inv</w:t>
            </w:r>
            <w:r>
              <w:rPr>
                <w:rFonts w:ascii="Arial" w:hAnsi="Arial" w:cs="Arial"/>
              </w:rPr>
              <w:t xml:space="preserve">olved in the planning, reviewing, and improving the </w:t>
            </w:r>
            <w:proofErr w:type="spellStart"/>
            <w:r>
              <w:rPr>
                <w:rFonts w:ascii="Arial" w:hAnsi="Arial" w:cs="Arial"/>
              </w:rPr>
              <w:t>schoolwide</w:t>
            </w:r>
            <w:proofErr w:type="spellEnd"/>
            <w:r>
              <w:rPr>
                <w:rFonts w:ascii="Arial" w:hAnsi="Arial" w:cs="Arial"/>
              </w:rPr>
              <w:t xml:space="preserve"> plan. This plan must include </w:t>
            </w:r>
            <w:r w:rsidRPr="000571BA">
              <w:rPr>
                <w:rFonts w:ascii="Arial" w:hAnsi="Arial" w:cs="Arial"/>
              </w:rPr>
              <w:t>a parental</w:t>
            </w:r>
            <w:r w:rsidR="0049321D">
              <w:rPr>
                <w:rFonts w:ascii="Arial" w:hAnsi="Arial" w:cs="Arial"/>
              </w:rPr>
              <w:t xml:space="preserve"> involvement policy and a strategy to engage parents/families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72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Pr="00F26047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Pr="00F26047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925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Pr="00A0175D" w:rsidRDefault="00E7723F" w:rsidP="009422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7723F" w:rsidTr="009422EF">
        <w:trPr>
          <w:cantSplit/>
          <w:jc w:val="center"/>
        </w:trPr>
        <w:tc>
          <w:tcPr>
            <w:tcW w:w="2153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Default="00E7723F" w:rsidP="009422E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Participating in FET/”Next Steps”/Family Engagement Indicators involving parents as team members</w:t>
            </w:r>
          </w:p>
        </w:tc>
        <w:tc>
          <w:tcPr>
            <w:tcW w:w="472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Pr="00F26047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Pr="00F26047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925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Pr="00A0175D" w:rsidRDefault="00E7723F" w:rsidP="009422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7723F" w:rsidTr="00927C68">
        <w:trPr>
          <w:cantSplit/>
          <w:jc w:val="center"/>
        </w:trPr>
        <w:tc>
          <w:tcPr>
            <w:tcW w:w="5000" w:type="pct"/>
            <w:gridSpan w:val="4"/>
            <w:shd w:val="clear" w:color="auto" w:fill="4BACC6" w:themeFill="accent5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Pr="00927C68" w:rsidRDefault="00E7723F" w:rsidP="00927C68">
            <w:pPr>
              <w:spacing w:before="60" w:after="6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br w:type="page"/>
            </w:r>
            <w:r w:rsidRPr="00927C68">
              <w:rPr>
                <w:rFonts w:ascii="Arial" w:hAnsi="Arial" w:cs="Arial"/>
                <w:b/>
                <w:sz w:val="36"/>
                <w:szCs w:val="36"/>
              </w:rPr>
              <w:t>Academic Assessment &amp; Local Educational Agency &amp; School Improvement (NCLB 1116)</w:t>
            </w:r>
          </w:p>
        </w:tc>
      </w:tr>
      <w:tr w:rsidR="00E7723F" w:rsidRPr="00BC0584" w:rsidTr="00927C68">
        <w:trPr>
          <w:cantSplit/>
          <w:jc w:val="center"/>
        </w:trPr>
        <w:tc>
          <w:tcPr>
            <w:tcW w:w="2153" w:type="pct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7723F" w:rsidRPr="00BC0584" w:rsidRDefault="00E7723F" w:rsidP="009422EF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Compliance Requirements</w:t>
            </w:r>
          </w:p>
        </w:tc>
        <w:tc>
          <w:tcPr>
            <w:tcW w:w="472" w:type="pct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7723F" w:rsidRPr="00BC0584" w:rsidRDefault="00E7723F" w:rsidP="009422E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C0584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450" w:type="pct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7723F" w:rsidRPr="00BC0584" w:rsidRDefault="00E7723F" w:rsidP="009422E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C0584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925" w:type="pct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7723F" w:rsidRPr="00BC0584" w:rsidRDefault="00E7723F" w:rsidP="009422EF">
            <w:pPr>
              <w:spacing w:before="60" w:after="60"/>
              <w:rPr>
                <w:rFonts w:ascii="Arial" w:hAnsi="Arial" w:cs="Arial"/>
                <w:b/>
              </w:rPr>
            </w:pPr>
            <w:r w:rsidRPr="00BC0584">
              <w:rPr>
                <w:rFonts w:ascii="Arial" w:hAnsi="Arial" w:cs="Arial"/>
                <w:b/>
              </w:rPr>
              <w:t>Comments</w:t>
            </w:r>
          </w:p>
        </w:tc>
      </w:tr>
      <w:tr w:rsidR="00E7723F" w:rsidTr="009422EF">
        <w:trPr>
          <w:cantSplit/>
          <w:jc w:val="center"/>
        </w:trPr>
        <w:tc>
          <w:tcPr>
            <w:tcW w:w="2153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Pr="00A0175D" w:rsidRDefault="00E7723F" w:rsidP="009422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Adequate Yearly Progress </w:t>
            </w:r>
            <w:r>
              <w:rPr>
                <w:rFonts w:ascii="Arial" w:hAnsi="Arial" w:cs="Arial"/>
              </w:rPr>
              <w:t>– A copy of the school’s annual yearly progress reports must be provided to parents along with an explanation of the report.</w:t>
            </w:r>
          </w:p>
        </w:tc>
        <w:tc>
          <w:tcPr>
            <w:tcW w:w="472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Pr="00F26047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Pr="00F26047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925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Pr="00A0175D" w:rsidRDefault="00E7723F" w:rsidP="009422EF">
            <w:pPr>
              <w:spacing w:before="60" w:after="60"/>
              <w:rPr>
                <w:rFonts w:ascii="Arial" w:hAnsi="Arial" w:cs="Arial"/>
              </w:rPr>
            </w:pPr>
          </w:p>
        </w:tc>
        <w:bookmarkStart w:id="3" w:name="_GoBack"/>
        <w:bookmarkEnd w:id="3"/>
      </w:tr>
      <w:tr w:rsidR="00E7723F" w:rsidTr="00927C68">
        <w:trPr>
          <w:cantSplit/>
          <w:jc w:val="center"/>
        </w:trPr>
        <w:tc>
          <w:tcPr>
            <w:tcW w:w="5000" w:type="pct"/>
            <w:gridSpan w:val="4"/>
            <w:shd w:val="clear" w:color="auto" w:fill="4BACC6" w:themeFill="accent5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Pr="00927C68" w:rsidRDefault="00E7723F" w:rsidP="00927C68">
            <w:pPr>
              <w:spacing w:before="60" w:after="6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27C68">
              <w:rPr>
                <w:rFonts w:ascii="Arial" w:hAnsi="Arial" w:cs="Arial"/>
                <w:b/>
                <w:sz w:val="36"/>
                <w:szCs w:val="36"/>
              </w:rPr>
              <w:t>Parental Involvement (NCLB 1118)</w:t>
            </w:r>
          </w:p>
        </w:tc>
      </w:tr>
      <w:tr w:rsidR="00E7723F" w:rsidTr="00927C68">
        <w:trPr>
          <w:cantSplit/>
          <w:jc w:val="center"/>
        </w:trPr>
        <w:tc>
          <w:tcPr>
            <w:tcW w:w="2153" w:type="pct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7723F" w:rsidRPr="00BC0584" w:rsidRDefault="00E7723F" w:rsidP="009422EF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Compliance Requirements</w:t>
            </w:r>
          </w:p>
        </w:tc>
        <w:tc>
          <w:tcPr>
            <w:tcW w:w="472" w:type="pct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7723F" w:rsidRPr="00BC0584" w:rsidRDefault="00E7723F" w:rsidP="009422E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C0584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450" w:type="pct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7723F" w:rsidRPr="00BC0584" w:rsidRDefault="00E7723F" w:rsidP="009422E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C0584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925" w:type="pct"/>
            <w:shd w:val="clear" w:color="auto" w:fill="DAEEF3" w:themeFill="accent5" w:themeFillTint="33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:rsidR="00E7723F" w:rsidRPr="00BC0584" w:rsidRDefault="00E7723F" w:rsidP="009422EF">
            <w:pPr>
              <w:spacing w:before="60" w:after="60"/>
              <w:rPr>
                <w:rFonts w:ascii="Arial" w:hAnsi="Arial" w:cs="Arial"/>
                <w:b/>
              </w:rPr>
            </w:pPr>
            <w:r w:rsidRPr="00BC0584">
              <w:rPr>
                <w:rFonts w:ascii="Arial" w:hAnsi="Arial" w:cs="Arial"/>
                <w:b/>
              </w:rPr>
              <w:t>Comments</w:t>
            </w:r>
          </w:p>
        </w:tc>
      </w:tr>
      <w:tr w:rsidR="00E7723F" w:rsidTr="009422EF">
        <w:trPr>
          <w:cantSplit/>
          <w:jc w:val="center"/>
        </w:trPr>
        <w:tc>
          <w:tcPr>
            <w:tcW w:w="2153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Pr="00A0175D" w:rsidRDefault="00E7723F" w:rsidP="009422EF">
            <w:pPr>
              <w:spacing w:before="60" w:after="60"/>
              <w:rPr>
                <w:rFonts w:ascii="Arial" w:hAnsi="Arial" w:cs="Arial"/>
              </w:rPr>
            </w:pPr>
            <w:r w:rsidRPr="00353A43">
              <w:rPr>
                <w:rFonts w:ascii="Arial" w:hAnsi="Arial" w:cs="Arial"/>
                <w:i/>
              </w:rPr>
              <w:t>Parent Involvement Policies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 xml:space="preserve">- Each school receiving Title IA funds or services must collaboratively develop, agree upon and distribute to parent(s) of participating children, parental involvement policies that contain information required by the law. </w:t>
            </w:r>
            <w:r w:rsidRPr="00E7723F">
              <w:rPr>
                <w:rFonts w:ascii="Arial" w:hAnsi="Arial" w:cs="Arial"/>
                <w:b/>
              </w:rPr>
              <w:t>This is uploaded on the NS Filing Cabinet.</w:t>
            </w:r>
          </w:p>
        </w:tc>
        <w:tc>
          <w:tcPr>
            <w:tcW w:w="472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925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Default="00E7723F" w:rsidP="009422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7723F" w:rsidTr="009422EF">
        <w:trPr>
          <w:cantSplit/>
          <w:jc w:val="center"/>
        </w:trPr>
        <w:tc>
          <w:tcPr>
            <w:tcW w:w="2153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Default="00E7723F" w:rsidP="009422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3A43">
              <w:rPr>
                <w:rFonts w:ascii="Arial" w:hAnsi="Arial" w:cs="Arial"/>
                <w:i/>
              </w:rPr>
              <w:t xml:space="preserve">Parent Involvement </w:t>
            </w:r>
            <w:r>
              <w:rPr>
                <w:rFonts w:ascii="Arial" w:hAnsi="Arial" w:cs="Arial"/>
                <w:i/>
              </w:rPr>
              <w:t xml:space="preserve">Compacts - </w:t>
            </w:r>
            <w:r>
              <w:rPr>
                <w:rFonts w:ascii="Arial" w:hAnsi="Arial" w:cs="Arial"/>
              </w:rPr>
              <w:t>Compacts</w:t>
            </w:r>
            <w:r w:rsidRPr="00353A43">
              <w:rPr>
                <w:rFonts w:ascii="Arial" w:hAnsi="Arial" w:cs="Arial"/>
              </w:rPr>
              <w:t xml:space="preserve"> must be developed </w:t>
            </w:r>
            <w:r>
              <w:rPr>
                <w:rFonts w:ascii="Arial" w:hAnsi="Arial" w:cs="Arial"/>
              </w:rPr>
              <w:t xml:space="preserve">yearly which includes </w:t>
            </w:r>
            <w:r w:rsidRPr="00353A43">
              <w:rPr>
                <w:rFonts w:ascii="Arial" w:hAnsi="Arial" w:cs="Arial"/>
              </w:rPr>
              <w:t>all</w:t>
            </w:r>
            <w:r>
              <w:rPr>
                <w:rFonts w:ascii="Arial" w:hAnsi="Arial" w:cs="Arial"/>
              </w:rPr>
              <w:t xml:space="preserve"> </w:t>
            </w:r>
            <w:r w:rsidRPr="00353A43">
              <w:rPr>
                <w:rFonts w:ascii="Arial" w:hAnsi="Arial" w:cs="Arial"/>
              </w:rPr>
              <w:t>school community</w:t>
            </w:r>
            <w:r>
              <w:rPr>
                <w:rFonts w:ascii="Arial" w:hAnsi="Arial" w:cs="Arial"/>
              </w:rPr>
              <w:t xml:space="preserve"> members</w:t>
            </w:r>
            <w:r w:rsidRPr="00353A43">
              <w:rPr>
                <w:rFonts w:ascii="Arial" w:hAnsi="Arial" w:cs="Arial"/>
              </w:rPr>
              <w:t xml:space="preserve">, including parents, teachers, principals, students, and </w:t>
            </w:r>
            <w:r>
              <w:rPr>
                <w:rFonts w:ascii="Arial" w:hAnsi="Arial" w:cs="Arial"/>
              </w:rPr>
              <w:t xml:space="preserve">involved </w:t>
            </w:r>
            <w:r w:rsidRPr="00353A43">
              <w:rPr>
                <w:rFonts w:ascii="Arial" w:hAnsi="Arial" w:cs="Arial"/>
              </w:rPr>
              <w:t xml:space="preserve">community members, </w:t>
            </w:r>
            <w:r>
              <w:rPr>
                <w:rFonts w:ascii="Arial" w:hAnsi="Arial" w:cs="Arial"/>
              </w:rPr>
              <w:t xml:space="preserve">who will </w:t>
            </w:r>
            <w:r w:rsidRPr="00353A43">
              <w:rPr>
                <w:rFonts w:ascii="Arial" w:hAnsi="Arial" w:cs="Arial"/>
              </w:rPr>
              <w:t xml:space="preserve">agree to share responsibility for </w:t>
            </w:r>
            <w:r>
              <w:rPr>
                <w:rFonts w:ascii="Arial" w:hAnsi="Arial" w:cs="Arial"/>
              </w:rPr>
              <w:t>the</w:t>
            </w:r>
            <w:r w:rsidRPr="00353A43">
              <w:rPr>
                <w:rFonts w:ascii="Arial" w:hAnsi="Arial" w:cs="Arial"/>
              </w:rPr>
              <w:t xml:space="preserve"> learning</w:t>
            </w:r>
            <w:r>
              <w:rPr>
                <w:rFonts w:ascii="Arial" w:hAnsi="Arial" w:cs="Arial"/>
              </w:rPr>
              <w:t xml:space="preserve"> among students at the school</w:t>
            </w:r>
            <w:r w:rsidRPr="00353A43">
              <w:rPr>
                <w:rFonts w:ascii="Arial" w:hAnsi="Arial" w:cs="Arial"/>
              </w:rPr>
              <w:t>.</w:t>
            </w:r>
          </w:p>
          <w:p w:rsidR="00E7723F" w:rsidRPr="00A0175D" w:rsidRDefault="00E7723F" w:rsidP="009422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723F">
              <w:rPr>
                <w:rFonts w:ascii="Arial" w:hAnsi="Arial" w:cs="Arial"/>
                <w:b/>
              </w:rPr>
              <w:t>This is uploaded on the NS Filing Cabinet.</w:t>
            </w:r>
          </w:p>
        </w:tc>
        <w:tc>
          <w:tcPr>
            <w:tcW w:w="472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925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Default="00E7723F" w:rsidP="009422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7723F" w:rsidTr="009422EF">
        <w:trPr>
          <w:cantSplit/>
          <w:jc w:val="center"/>
        </w:trPr>
        <w:tc>
          <w:tcPr>
            <w:tcW w:w="2153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Default="00E7723F" w:rsidP="009422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lastRenderedPageBreak/>
              <w:t>Annual Parent Meetings -</w:t>
            </w:r>
            <w:r>
              <w:rPr>
                <w:sz w:val="24"/>
                <w:szCs w:val="24"/>
              </w:rPr>
              <w:t xml:space="preserve"> </w:t>
            </w:r>
            <w:r w:rsidRPr="00EA5219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school</w:t>
            </w:r>
            <w:r w:rsidRPr="00EA5219">
              <w:rPr>
                <w:rFonts w:ascii="Arial" w:hAnsi="Arial" w:cs="Arial"/>
              </w:rPr>
              <w:t xml:space="preserve"> is required to host a meeting for parents to</w:t>
            </w:r>
            <w:r>
              <w:rPr>
                <w:rFonts w:ascii="Arial" w:hAnsi="Arial" w:cs="Arial"/>
              </w:rPr>
              <w:t xml:space="preserve"> </w:t>
            </w:r>
            <w:r w:rsidRPr="00EA5219">
              <w:rPr>
                <w:rFonts w:ascii="Arial" w:hAnsi="Arial" w:cs="Arial"/>
              </w:rPr>
              <w:t>explain the Title I program</w:t>
            </w:r>
            <w:r>
              <w:rPr>
                <w:rFonts w:ascii="Arial" w:hAnsi="Arial" w:cs="Arial"/>
              </w:rPr>
              <w:t xml:space="preserve"> at the school and its requirements</w:t>
            </w:r>
            <w:r w:rsidRPr="00EA52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how parents can be involved in their child’s education</w:t>
            </w:r>
            <w:r w:rsidRPr="00EA5219">
              <w:rPr>
                <w:rFonts w:ascii="Arial" w:hAnsi="Arial" w:cs="Arial"/>
              </w:rPr>
              <w:t>.</w:t>
            </w:r>
          </w:p>
          <w:p w:rsidR="00E7723F" w:rsidRPr="00353A43" w:rsidRDefault="00E7723F" w:rsidP="009422E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E7723F">
              <w:rPr>
                <w:rFonts w:ascii="Arial" w:hAnsi="Arial" w:cs="Arial"/>
                <w:b/>
              </w:rPr>
              <w:t>This is uploaded on the NS Filing Cabinet.</w:t>
            </w:r>
          </w:p>
        </w:tc>
        <w:tc>
          <w:tcPr>
            <w:tcW w:w="472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925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Default="00E7723F" w:rsidP="009422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7723F" w:rsidTr="009422EF">
        <w:trPr>
          <w:cantSplit/>
          <w:jc w:val="center"/>
        </w:trPr>
        <w:tc>
          <w:tcPr>
            <w:tcW w:w="2153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Default="00E7723F" w:rsidP="009422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Assessing/Evaluating Your School’s Parent Involvement Program - </w:t>
            </w:r>
            <w:r>
              <w:rPr>
                <w:rFonts w:ascii="Arial" w:hAnsi="Arial" w:cs="Arial"/>
              </w:rPr>
              <w:t>T</w:t>
            </w:r>
            <w:r w:rsidRPr="007B0C67"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</w:rPr>
              <w:t>school</w:t>
            </w:r>
            <w:r w:rsidRPr="007B0C67">
              <w:rPr>
                <w:rFonts w:ascii="Arial" w:hAnsi="Arial" w:cs="Arial"/>
              </w:rPr>
              <w:t xml:space="preserve"> must assess their parent involvement component. </w:t>
            </w:r>
            <w:r>
              <w:rPr>
                <w:rFonts w:ascii="Arial" w:hAnsi="Arial" w:cs="Arial"/>
              </w:rPr>
              <w:t xml:space="preserve">This can be achieved by requesting parents to participate in a </w:t>
            </w:r>
            <w:r w:rsidRPr="007B0C67">
              <w:rPr>
                <w:rFonts w:ascii="Arial" w:hAnsi="Arial" w:cs="Arial"/>
              </w:rPr>
              <w:t>formal</w:t>
            </w:r>
            <w:r>
              <w:rPr>
                <w:rFonts w:ascii="Arial" w:hAnsi="Arial" w:cs="Arial"/>
              </w:rPr>
              <w:t xml:space="preserve"> </w:t>
            </w:r>
            <w:r w:rsidRPr="007B0C67">
              <w:rPr>
                <w:rFonts w:ascii="Arial" w:hAnsi="Arial" w:cs="Arial"/>
              </w:rPr>
              <w:t>meeting or complete a survey</w:t>
            </w:r>
            <w:r>
              <w:rPr>
                <w:rFonts w:ascii="Arial" w:hAnsi="Arial" w:cs="Arial"/>
              </w:rPr>
              <w:t xml:space="preserve"> questionnaire.</w:t>
            </w:r>
          </w:p>
          <w:p w:rsidR="0049321D" w:rsidRDefault="0049321D" w:rsidP="009422E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E7723F">
              <w:rPr>
                <w:rFonts w:ascii="Arial" w:hAnsi="Arial" w:cs="Arial"/>
                <w:b/>
              </w:rPr>
              <w:t>This is uploaded on the NS Filing Cabinet.</w:t>
            </w:r>
          </w:p>
        </w:tc>
        <w:tc>
          <w:tcPr>
            <w:tcW w:w="472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925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Default="00E7723F" w:rsidP="009422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7723F" w:rsidTr="009422EF">
        <w:trPr>
          <w:cantSplit/>
          <w:jc w:val="center"/>
        </w:trPr>
        <w:tc>
          <w:tcPr>
            <w:tcW w:w="2153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Default="00E7723F" w:rsidP="009422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Parent Trainings - </w:t>
            </w:r>
            <w:r w:rsidRPr="005D5EBB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school</w:t>
            </w:r>
            <w:r w:rsidRPr="005D5EBB">
              <w:rPr>
                <w:rFonts w:ascii="Arial" w:hAnsi="Arial" w:cs="Arial"/>
              </w:rPr>
              <w:t xml:space="preserve"> provides parents with opportunities to</w:t>
            </w:r>
            <w:r>
              <w:rPr>
                <w:rFonts w:ascii="Arial" w:hAnsi="Arial" w:cs="Arial"/>
              </w:rPr>
              <w:t xml:space="preserve"> </w:t>
            </w:r>
            <w:r w:rsidRPr="005D5EBB">
              <w:rPr>
                <w:rFonts w:ascii="Arial" w:hAnsi="Arial" w:cs="Arial"/>
              </w:rPr>
              <w:t xml:space="preserve">become partners with the school </w:t>
            </w:r>
            <w:r>
              <w:rPr>
                <w:rFonts w:ascii="Arial" w:hAnsi="Arial" w:cs="Arial"/>
              </w:rPr>
              <w:t>and enhance their child’s education at home and at school through parent trainings.</w:t>
            </w:r>
          </w:p>
          <w:p w:rsidR="0049321D" w:rsidRDefault="0049321D" w:rsidP="009422E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E7723F">
              <w:rPr>
                <w:rFonts w:ascii="Arial" w:hAnsi="Arial" w:cs="Arial"/>
                <w:b/>
              </w:rPr>
              <w:t>This is uploaded on the NS Filing Cabinet.</w:t>
            </w:r>
          </w:p>
        </w:tc>
        <w:tc>
          <w:tcPr>
            <w:tcW w:w="472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925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Default="00E7723F" w:rsidP="009422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7723F" w:rsidTr="009422EF">
        <w:trPr>
          <w:cantSplit/>
          <w:jc w:val="center"/>
        </w:trPr>
        <w:tc>
          <w:tcPr>
            <w:tcW w:w="2153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Default="00E7723F" w:rsidP="009422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Annual Review Meeting – </w:t>
            </w:r>
            <w:r w:rsidRPr="007A7365">
              <w:rPr>
                <w:rFonts w:ascii="Arial" w:hAnsi="Arial" w:cs="Arial"/>
              </w:rPr>
              <w:t>Title I require a review to be conducted of the entire Title I</w:t>
            </w:r>
            <w:r>
              <w:rPr>
                <w:rFonts w:ascii="Arial" w:hAnsi="Arial" w:cs="Arial"/>
              </w:rPr>
              <w:t xml:space="preserve"> </w:t>
            </w:r>
            <w:r w:rsidRPr="007A7365">
              <w:rPr>
                <w:rFonts w:ascii="Arial" w:hAnsi="Arial" w:cs="Arial"/>
              </w:rPr>
              <w:t>program</w:t>
            </w:r>
            <w:r>
              <w:rPr>
                <w:rFonts w:ascii="Arial" w:hAnsi="Arial" w:cs="Arial"/>
              </w:rPr>
              <w:t xml:space="preserve"> each year</w:t>
            </w:r>
            <w:r w:rsidRPr="007A7365">
              <w:rPr>
                <w:rFonts w:ascii="Arial" w:hAnsi="Arial" w:cs="Arial"/>
              </w:rPr>
              <w:t xml:space="preserve">. Parents </w:t>
            </w:r>
            <w:r>
              <w:rPr>
                <w:rFonts w:ascii="Arial" w:hAnsi="Arial" w:cs="Arial"/>
              </w:rPr>
              <w:t>must</w:t>
            </w:r>
            <w:r w:rsidRPr="007A7365">
              <w:rPr>
                <w:rFonts w:ascii="Arial" w:hAnsi="Arial" w:cs="Arial"/>
              </w:rPr>
              <w:t xml:space="preserve"> be informed of </w:t>
            </w:r>
            <w:r>
              <w:rPr>
                <w:rFonts w:ascii="Arial" w:hAnsi="Arial" w:cs="Arial"/>
              </w:rPr>
              <w:t>the</w:t>
            </w:r>
            <w:r w:rsidRPr="007A7365">
              <w:rPr>
                <w:rFonts w:ascii="Arial" w:hAnsi="Arial" w:cs="Arial"/>
              </w:rPr>
              <w:t xml:space="preserve"> results of this meeting.</w:t>
            </w:r>
          </w:p>
          <w:p w:rsidR="00E7723F" w:rsidRDefault="00E7723F" w:rsidP="009422E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E7723F">
              <w:rPr>
                <w:rFonts w:ascii="Arial" w:hAnsi="Arial" w:cs="Arial"/>
                <w:b/>
              </w:rPr>
              <w:t>This is uploaded on the NS Filing Cabinet.</w:t>
            </w:r>
          </w:p>
        </w:tc>
        <w:tc>
          <w:tcPr>
            <w:tcW w:w="472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925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Default="00E7723F" w:rsidP="009422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7723F" w:rsidTr="009422EF">
        <w:trPr>
          <w:cantSplit/>
          <w:jc w:val="center"/>
        </w:trPr>
        <w:tc>
          <w:tcPr>
            <w:tcW w:w="2153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Default="00E7723F" w:rsidP="009422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C7F27">
              <w:rPr>
                <w:rFonts w:ascii="Arial" w:hAnsi="Arial" w:cs="Arial"/>
                <w:i/>
              </w:rPr>
              <w:t xml:space="preserve">1% Compliance - </w:t>
            </w:r>
            <w:r w:rsidRPr="00AC7F27">
              <w:rPr>
                <w:rFonts w:ascii="Arial" w:hAnsi="Arial" w:cs="Arial"/>
              </w:rPr>
              <w:t xml:space="preserve">If a </w:t>
            </w:r>
            <w:r>
              <w:rPr>
                <w:rFonts w:ascii="Arial" w:hAnsi="Arial" w:cs="Arial"/>
              </w:rPr>
              <w:t xml:space="preserve">school’s </w:t>
            </w:r>
            <w:r w:rsidRPr="00AC7F27">
              <w:rPr>
                <w:rFonts w:ascii="Arial" w:hAnsi="Arial" w:cs="Arial"/>
              </w:rPr>
              <w:t>Title I allocation is $500,000 or more, they are then required to set aside</w:t>
            </w:r>
            <w:r>
              <w:rPr>
                <w:rFonts w:ascii="Arial" w:hAnsi="Arial" w:cs="Arial"/>
              </w:rPr>
              <w:t xml:space="preserve"> </w:t>
            </w:r>
            <w:r w:rsidRPr="00AC7F27">
              <w:rPr>
                <w:rFonts w:ascii="Arial" w:hAnsi="Arial" w:cs="Arial"/>
              </w:rPr>
              <w:t xml:space="preserve">1% of their Title I allocation for parental involvement. </w:t>
            </w:r>
          </w:p>
          <w:p w:rsidR="00E7723F" w:rsidRPr="00AC7F27" w:rsidRDefault="00E7723F" w:rsidP="0049321D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 w:rsidRPr="00E7723F">
              <w:rPr>
                <w:rFonts w:ascii="Arial" w:hAnsi="Arial" w:cs="Arial"/>
                <w:b/>
              </w:rPr>
              <w:t xml:space="preserve">Information </w:t>
            </w:r>
            <w:r w:rsidR="0049321D">
              <w:rPr>
                <w:rFonts w:ascii="Arial" w:hAnsi="Arial" w:cs="Arial"/>
                <w:b/>
              </w:rPr>
              <w:t>should be included in</w:t>
            </w:r>
            <w:r w:rsidRPr="00E7723F">
              <w:rPr>
                <w:rFonts w:ascii="Arial" w:hAnsi="Arial" w:cs="Arial"/>
                <w:b/>
              </w:rPr>
              <w:t xml:space="preserve"> the Consolidated </w:t>
            </w:r>
            <w:proofErr w:type="spellStart"/>
            <w:r w:rsidRPr="00E7723F">
              <w:rPr>
                <w:rFonts w:ascii="Arial" w:hAnsi="Arial" w:cs="Arial"/>
                <w:b/>
              </w:rPr>
              <w:t>Schoolwide</w:t>
            </w:r>
            <w:proofErr w:type="spellEnd"/>
            <w:r w:rsidRPr="00E7723F">
              <w:rPr>
                <w:rFonts w:ascii="Arial" w:hAnsi="Arial" w:cs="Arial"/>
                <w:b/>
              </w:rPr>
              <w:t xml:space="preserve"> Budget uploaded in the NS Filing Cabinet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72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50" w:type="pct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:rsidR="00E7723F" w:rsidRDefault="00E7723F" w:rsidP="009422EF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925" w:type="pct"/>
            <w:tcMar>
              <w:top w:w="43" w:type="dxa"/>
              <w:left w:w="72" w:type="dxa"/>
              <w:bottom w:w="43" w:type="dxa"/>
              <w:right w:w="43" w:type="dxa"/>
            </w:tcMar>
          </w:tcPr>
          <w:p w:rsidR="00E7723F" w:rsidRDefault="00E7723F" w:rsidP="009422EF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93471A" w:rsidRDefault="0049321D"/>
    <w:p w:rsidR="00E7723F" w:rsidRPr="00927C68" w:rsidRDefault="00E7723F" w:rsidP="00E7723F">
      <w:pPr>
        <w:rPr>
          <w:rFonts w:cstheme="minorHAnsi"/>
          <w:sz w:val="36"/>
          <w:szCs w:val="36"/>
        </w:rPr>
      </w:pPr>
      <w:r w:rsidRPr="00927C68">
        <w:rPr>
          <w:b/>
          <w:sz w:val="36"/>
          <w:szCs w:val="36"/>
        </w:rPr>
        <w:t>Valerie Todacheene, Education Program Specialist, Division of Performance &amp; Accountability, Bureau of Indian Education, 505-563-5269</w:t>
      </w:r>
      <w:r w:rsidRPr="00927C68">
        <w:rPr>
          <w:sz w:val="36"/>
          <w:szCs w:val="36"/>
        </w:rPr>
        <w:t>.</w:t>
      </w:r>
    </w:p>
    <w:p w:rsidR="00E7723F" w:rsidRDefault="00E7723F"/>
    <w:p w:rsidR="00E7723F" w:rsidRDefault="00E7723F"/>
    <w:sectPr w:rsidR="00E7723F" w:rsidSect="00927C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3F"/>
    <w:rsid w:val="001D4BE6"/>
    <w:rsid w:val="00214F59"/>
    <w:rsid w:val="0049321D"/>
    <w:rsid w:val="005F0420"/>
    <w:rsid w:val="006E440D"/>
    <w:rsid w:val="00927C68"/>
    <w:rsid w:val="00D06D6C"/>
    <w:rsid w:val="00E7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23F"/>
  </w:style>
  <w:style w:type="paragraph" w:styleId="Heading1">
    <w:name w:val="heading 1"/>
    <w:basedOn w:val="Normal"/>
    <w:next w:val="Normal"/>
    <w:link w:val="Heading1Char"/>
    <w:qFormat/>
    <w:rsid w:val="00214F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F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4F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4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14F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4F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14F59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14F59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4F59"/>
    <w:pPr>
      <w:outlineLvl w:val="9"/>
    </w:pPr>
    <w:rPr>
      <w:lang w:eastAsia="ja-JP"/>
    </w:rPr>
  </w:style>
  <w:style w:type="table" w:styleId="TableGrid">
    <w:name w:val="Table Grid"/>
    <w:basedOn w:val="TableNormal"/>
    <w:rsid w:val="00E77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23F"/>
  </w:style>
  <w:style w:type="paragraph" w:styleId="Heading1">
    <w:name w:val="heading 1"/>
    <w:basedOn w:val="Normal"/>
    <w:next w:val="Normal"/>
    <w:link w:val="Heading1Char"/>
    <w:qFormat/>
    <w:rsid w:val="00214F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F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4F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4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14F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4F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14F59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14F59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4F59"/>
    <w:pPr>
      <w:outlineLvl w:val="9"/>
    </w:pPr>
    <w:rPr>
      <w:lang w:eastAsia="ja-JP"/>
    </w:rPr>
  </w:style>
  <w:style w:type="table" w:styleId="TableGrid">
    <w:name w:val="Table Grid"/>
    <w:basedOn w:val="TableNormal"/>
    <w:rsid w:val="00E77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BIE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Todacheene, Valerie</dc:creator>
  <cp:lastModifiedBy>Todacheene, Valerie</cp:lastModifiedBy>
  <cp:revision>4</cp:revision>
  <dcterms:created xsi:type="dcterms:W3CDTF">2013-03-28T20:55:00Z</dcterms:created>
  <dcterms:modified xsi:type="dcterms:W3CDTF">2013-04-26T19:54:00Z</dcterms:modified>
</cp:coreProperties>
</file>